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1439FE">
        <w:rPr>
          <w:b/>
          <w:sz w:val="20"/>
          <w:szCs w:val="20"/>
        </w:rPr>
        <w:t>Ч14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3537B4">
        <w:rPr>
          <w:sz w:val="20"/>
          <w:szCs w:val="20"/>
        </w:rPr>
        <w:t>дека</w:t>
      </w:r>
      <w:r w:rsidR="00416491">
        <w:rPr>
          <w:sz w:val="20"/>
          <w:szCs w:val="20"/>
        </w:rPr>
        <w:t>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3537B4">
        <w:rPr>
          <w:sz w:val="20"/>
          <w:szCs w:val="20"/>
        </w:rPr>
        <w:t>Черных О.Е</w:t>
      </w:r>
      <w:r w:rsidR="001A3BF4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1439FE">
        <w:rPr>
          <w:sz w:val="20"/>
          <w:szCs w:val="20"/>
        </w:rPr>
        <w:t>Чапаева, д. 14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3537B4">
        <w:rPr>
          <w:sz w:val="20"/>
          <w:szCs w:val="20"/>
        </w:rPr>
        <w:t>22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3537B4">
        <w:rPr>
          <w:sz w:val="20"/>
          <w:szCs w:val="20"/>
        </w:rPr>
        <w:t>ноября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439FE">
        <w:rPr>
          <w:sz w:val="20"/>
          <w:szCs w:val="20"/>
        </w:rPr>
        <w:t>Чапаева, д. 14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1439FE">
        <w:rPr>
          <w:color w:val="000000"/>
          <w:sz w:val="20"/>
          <w:szCs w:val="20"/>
          <w:lang w:eastAsia="ru-RU"/>
        </w:rPr>
        <w:t>1989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1439FE">
        <w:rPr>
          <w:sz w:val="20"/>
          <w:szCs w:val="20"/>
        </w:rPr>
        <w:t>60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1439FE">
        <w:rPr>
          <w:sz w:val="20"/>
          <w:szCs w:val="20"/>
        </w:rPr>
        <w:t>2840,9</w:t>
      </w:r>
      <w:r w:rsidR="003537B4">
        <w:rPr>
          <w:sz w:val="20"/>
          <w:szCs w:val="20"/>
        </w:rPr>
        <w:t>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1439FE">
        <w:rPr>
          <w:sz w:val="20"/>
          <w:szCs w:val="20"/>
        </w:rPr>
        <w:t>12,0</w:t>
      </w:r>
      <w:r w:rsidR="00D67179">
        <w:rPr>
          <w:sz w:val="20"/>
          <w:szCs w:val="20"/>
        </w:rPr>
        <w:t>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3537B4">
        <w:rPr>
          <w:sz w:val="20"/>
          <w:szCs w:val="20"/>
        </w:rPr>
        <w:t>дека</w:t>
      </w:r>
      <w:r w:rsidR="00624900">
        <w:rPr>
          <w:sz w:val="20"/>
          <w:szCs w:val="20"/>
        </w:rPr>
        <w:t>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3537B4">
              <w:rPr>
                <w:b/>
                <w:sz w:val="20"/>
                <w:szCs w:val="20"/>
              </w:rPr>
              <w:t>Черных О</w:t>
            </w:r>
            <w:r w:rsidR="00BE531C">
              <w:rPr>
                <w:b/>
                <w:sz w:val="20"/>
                <w:szCs w:val="20"/>
              </w:rPr>
              <w:t>.</w:t>
            </w:r>
            <w:r w:rsidR="003537B4">
              <w:rPr>
                <w:b/>
                <w:sz w:val="20"/>
                <w:szCs w:val="20"/>
              </w:rPr>
              <w:t>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1439FE">
        <w:rPr>
          <w:sz w:val="20"/>
          <w:szCs w:val="20"/>
        </w:rPr>
        <w:t>Ч14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3537B4">
        <w:rPr>
          <w:sz w:val="20"/>
          <w:szCs w:val="20"/>
        </w:rPr>
        <w:t>дека</w:t>
      </w:r>
      <w:r w:rsidR="00624900">
        <w:rPr>
          <w:sz w:val="20"/>
          <w:szCs w:val="20"/>
        </w:rPr>
        <w:t>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3537B4">
        <w:rPr>
          <w:sz w:val="20"/>
          <w:szCs w:val="20"/>
        </w:rPr>
        <w:t>Чапаева, д. 12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3537B4">
              <w:rPr>
                <w:b/>
                <w:sz w:val="20"/>
                <w:szCs w:val="20"/>
              </w:rPr>
              <w:t xml:space="preserve"> 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2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1439FE">
        <w:rPr>
          <w:sz w:val="20"/>
          <w:szCs w:val="20"/>
        </w:rPr>
        <w:t>Ч14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3537B4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1439FE">
        <w:rPr>
          <w:sz w:val="20"/>
          <w:szCs w:val="20"/>
        </w:rPr>
        <w:t>Чапаева, д. 14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3537B4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3537B4">
              <w:rPr>
                <w:b/>
                <w:sz w:val="20"/>
                <w:szCs w:val="20"/>
              </w:rPr>
              <w:t xml:space="preserve"> 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1439FE">
        <w:rPr>
          <w:sz w:val="20"/>
          <w:szCs w:val="20"/>
        </w:rPr>
        <w:t>Ч14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3537B4">
        <w:rPr>
          <w:sz w:val="20"/>
          <w:szCs w:val="20"/>
        </w:rPr>
        <w:t>дека</w:t>
      </w:r>
      <w:r>
        <w:rPr>
          <w:sz w:val="20"/>
          <w:szCs w:val="20"/>
        </w:rPr>
        <w:t xml:space="preserve">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3537B4">
        <w:rPr>
          <w:sz w:val="20"/>
          <w:szCs w:val="20"/>
        </w:rPr>
        <w:t>Чапаева, д. 12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11542" w:type="dxa"/>
        <w:tblInd w:w="-1423" w:type="dxa"/>
        <w:tblLook w:val="04A0" w:firstRow="1" w:lastRow="0" w:firstColumn="1" w:lastColumn="0" w:noHBand="0" w:noVBand="1"/>
      </w:tblPr>
      <w:tblGrid>
        <w:gridCol w:w="534"/>
        <w:gridCol w:w="340"/>
        <w:gridCol w:w="392"/>
        <w:gridCol w:w="391"/>
        <w:gridCol w:w="376"/>
        <w:gridCol w:w="340"/>
        <w:gridCol w:w="340"/>
        <w:gridCol w:w="340"/>
        <w:gridCol w:w="340"/>
        <w:gridCol w:w="343"/>
        <w:gridCol w:w="359"/>
        <w:gridCol w:w="360"/>
        <w:gridCol w:w="359"/>
        <w:gridCol w:w="359"/>
        <w:gridCol w:w="361"/>
        <w:gridCol w:w="1213"/>
        <w:gridCol w:w="399"/>
        <w:gridCol w:w="401"/>
        <w:gridCol w:w="399"/>
        <w:gridCol w:w="359"/>
        <w:gridCol w:w="359"/>
        <w:gridCol w:w="359"/>
        <w:gridCol w:w="5"/>
        <w:gridCol w:w="356"/>
        <w:gridCol w:w="5"/>
        <w:gridCol w:w="359"/>
        <w:gridCol w:w="359"/>
        <w:gridCol w:w="360"/>
        <w:gridCol w:w="359"/>
        <w:gridCol w:w="359"/>
        <w:gridCol w:w="359"/>
        <w:gridCol w:w="5"/>
      </w:tblGrid>
      <w:tr w:rsidR="001439FE" w:rsidRPr="001439FE" w:rsidTr="001439FE">
        <w:trPr>
          <w:gridAfter w:val="1"/>
          <w:trHeight w:val="276"/>
        </w:trPr>
        <w:tc>
          <w:tcPr>
            <w:tcW w:w="3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439FE">
              <w:rPr>
                <w:color w:val="000000"/>
                <w:sz w:val="16"/>
                <w:szCs w:val="16"/>
                <w:lang w:eastAsia="ru-RU"/>
              </w:rPr>
              <w:t>Ι. Содержание мест общего пользования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trHeight w:val="276"/>
        </w:trPr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1439FE" w:rsidRPr="001439FE" w:rsidTr="001439FE">
        <w:trPr>
          <w:trHeight w:val="276"/>
        </w:trPr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439FE" w:rsidRPr="001439FE" w:rsidTr="001439FE">
        <w:trPr>
          <w:trHeight w:val="276"/>
        </w:trPr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39FE">
              <w:rPr>
                <w:color w:val="000000"/>
                <w:sz w:val="18"/>
                <w:szCs w:val="18"/>
                <w:lang w:eastAsia="ru-RU"/>
              </w:rPr>
              <w:t>67387,62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21161,36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1643,60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90192,58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90"/>
        </w:trPr>
        <w:tc>
          <w:tcPr>
            <w:tcW w:w="75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59580,52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48897,12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43966,32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11505,20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211202,68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375151,84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11,08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trHeight w:val="290"/>
        </w:trPr>
        <w:tc>
          <w:tcPr>
            <w:tcW w:w="9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198053,87</w:t>
            </w:r>
          </w:p>
        </w:tc>
        <w:tc>
          <w:tcPr>
            <w:tcW w:w="1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5,85</w:t>
            </w: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439FE" w:rsidRPr="001439FE" w:rsidTr="001439FE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Аварийно - ремонтное обслуживание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89576,23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39FE">
              <w:rPr>
                <w:color w:val="000000"/>
                <w:sz w:val="18"/>
                <w:szCs w:val="18"/>
                <w:lang w:eastAsia="ru-RU"/>
              </w:rPr>
              <w:t>3698,1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1232,70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39FE">
              <w:rPr>
                <w:color w:val="000000"/>
                <w:sz w:val="18"/>
                <w:szCs w:val="18"/>
                <w:lang w:eastAsia="ru-RU"/>
              </w:rPr>
              <w:t>181206,97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gridAfter w:val="1"/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473767,87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13,99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39FE" w:rsidRPr="001439FE" w:rsidTr="001439FE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939112,29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27,73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FE" w:rsidRPr="001439FE" w:rsidRDefault="001439FE" w:rsidP="001439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B35CA" w:rsidRPr="00227BD0" w:rsidRDefault="00CB35CA" w:rsidP="001439FE">
      <w:pPr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3537B4">
              <w:rPr>
                <w:b/>
                <w:sz w:val="20"/>
                <w:szCs w:val="20"/>
              </w:rPr>
              <w:t xml:space="preserve"> 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B4" w:rsidRDefault="003537B4" w:rsidP="00C95070">
      <w:r>
        <w:separator/>
      </w:r>
    </w:p>
  </w:endnote>
  <w:endnote w:type="continuationSeparator" w:id="0">
    <w:p w:rsidR="003537B4" w:rsidRDefault="003537B4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B4" w:rsidRDefault="003537B4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439FE">
      <w:rPr>
        <w:noProof/>
      </w:rPr>
      <w:t>14</w:t>
    </w:r>
    <w:r>
      <w:fldChar w:fldCharType="end"/>
    </w:r>
  </w:p>
  <w:p w:rsidR="003537B4" w:rsidRDefault="003537B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B4" w:rsidRDefault="003537B4" w:rsidP="00C95070">
      <w:r>
        <w:separator/>
      </w:r>
    </w:p>
  </w:footnote>
  <w:footnote w:type="continuationSeparator" w:id="0">
    <w:p w:rsidR="003537B4" w:rsidRDefault="003537B4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439FE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2B4B24"/>
    <w:rsid w:val="0030049C"/>
    <w:rsid w:val="003012EE"/>
    <w:rsid w:val="00324DED"/>
    <w:rsid w:val="003537B4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E5E1-48C8-49BF-904D-C4BBFE22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10370</Words>
  <Characters>59113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Зубарев Константин Владимирович</cp:lastModifiedBy>
  <cp:revision>2</cp:revision>
  <cp:lastPrinted>2016-11-21T11:32:00Z</cp:lastPrinted>
  <dcterms:created xsi:type="dcterms:W3CDTF">2016-11-21T11:32:00Z</dcterms:created>
  <dcterms:modified xsi:type="dcterms:W3CDTF">2016-11-21T11:32:00Z</dcterms:modified>
</cp:coreProperties>
</file>